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EF" w:rsidRDefault="007137EF" w:rsidP="007137EF">
      <w:pPr>
        <w:widowControl/>
        <w:spacing w:beforeLines="50" w:line="360" w:lineRule="auto"/>
        <w:ind w:firstLineChars="200" w:firstLine="562"/>
        <w:jc w:val="center"/>
        <w:rPr>
          <w:rFonts w:asciiTheme="minorEastAsia" w:hAnsiTheme="minorEastAsia" w:cstheme="minorEastAsia"/>
          <w:b/>
          <w:color w:val="000000"/>
          <w:sz w:val="28"/>
          <w:szCs w:val="28"/>
        </w:rPr>
      </w:pPr>
      <w:bookmarkStart w:id="0" w:name="_Toc2914"/>
      <w:bookmarkStart w:id="1" w:name="_Toc402"/>
      <w:r>
        <w:rPr>
          <w:rFonts w:asciiTheme="minorEastAsia" w:hAnsiTheme="minorEastAsia" w:cstheme="minorEastAsia" w:hint="eastAsia"/>
          <w:b/>
          <w:color w:val="000000"/>
          <w:sz w:val="28"/>
          <w:szCs w:val="28"/>
        </w:rPr>
        <w:t>浙江大学研究生“三助”实施办法</w:t>
      </w:r>
      <w:bookmarkEnd w:id="0"/>
      <w:bookmarkEnd w:id="1"/>
    </w:p>
    <w:p w:rsidR="007137EF" w:rsidRDefault="007137EF" w:rsidP="007137EF">
      <w:pPr>
        <w:widowControl/>
        <w:spacing w:beforeLines="50" w:line="360" w:lineRule="auto"/>
        <w:ind w:firstLineChars="200" w:firstLine="480"/>
        <w:jc w:val="center"/>
        <w:rPr>
          <w:rFonts w:asciiTheme="minorEastAsia" w:hAnsiTheme="minorEastAsia" w:cstheme="minorEastAsia"/>
          <w:color w:val="000000"/>
          <w:sz w:val="24"/>
        </w:rPr>
      </w:pPr>
      <w:r>
        <w:rPr>
          <w:rFonts w:asciiTheme="minorEastAsia" w:hAnsiTheme="minorEastAsia" w:cstheme="minorEastAsia" w:hint="eastAsia"/>
          <w:color w:val="000000"/>
          <w:sz w:val="24"/>
        </w:rPr>
        <w:t>（2006年3月修订）</w:t>
      </w:r>
    </w:p>
    <w:p w:rsidR="007137EF" w:rsidRDefault="007137EF" w:rsidP="007137EF">
      <w:pPr>
        <w:widowControl/>
        <w:spacing w:beforeLines="50" w:line="360" w:lineRule="auto"/>
        <w:ind w:firstLineChars="200" w:firstLine="480"/>
        <w:jc w:val="center"/>
        <w:rPr>
          <w:rFonts w:asciiTheme="minorEastAsia" w:hAnsiTheme="minorEastAsia" w:cstheme="minorEastAsia"/>
          <w:color w:val="000000"/>
          <w:sz w:val="24"/>
        </w:rPr>
      </w:pPr>
      <w:r>
        <w:rPr>
          <w:rFonts w:asciiTheme="minorEastAsia" w:hAnsiTheme="minorEastAsia" w:cstheme="minorEastAsia" w:hint="eastAsia"/>
          <w:color w:val="000000"/>
          <w:sz w:val="24"/>
        </w:rPr>
        <w:t>（浙大发研〔2006〕42号）</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为加强我校的研究生教育，优化高层次人才培养环境，进一步发挥研究生在科研、教学、管理工作中的积极作用，提高研究生综合素质，促进我校人事制度和教学体制的改革，学校在试行研究生“三助”（教学助理、研究助理和管理助理，以下简称助教、助研、助管）的基础上，根据教育部有关文件精神，结合我校实际情况，特修订研究生“三助”实施办法。</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p>
    <w:p w:rsidR="007137EF" w:rsidRDefault="007137EF" w:rsidP="007137EF">
      <w:pPr>
        <w:widowControl/>
        <w:spacing w:beforeLines="50" w:line="360" w:lineRule="auto"/>
        <w:ind w:firstLineChars="200" w:firstLine="480"/>
        <w:jc w:val="left"/>
        <w:rPr>
          <w:rFonts w:asciiTheme="minorEastAsia" w:hAnsiTheme="minorEastAsia" w:cstheme="minorEastAsia"/>
          <w:bCs/>
          <w:color w:val="000000"/>
          <w:sz w:val="24"/>
        </w:rPr>
      </w:pPr>
      <w:bookmarkStart w:id="2" w:name="_Toc12227"/>
      <w:r>
        <w:rPr>
          <w:rFonts w:asciiTheme="minorEastAsia" w:hAnsiTheme="minorEastAsia" w:cstheme="minorEastAsia" w:hint="eastAsia"/>
          <w:bCs/>
          <w:color w:val="000000"/>
          <w:sz w:val="24"/>
        </w:rPr>
        <w:t>一、岗位设置</w:t>
      </w:r>
      <w:bookmarkEnd w:id="2"/>
    </w:p>
    <w:p w:rsidR="007137EF" w:rsidRDefault="007137EF" w:rsidP="007137EF">
      <w:pPr>
        <w:widowControl/>
        <w:spacing w:beforeLines="50" w:line="360" w:lineRule="auto"/>
        <w:ind w:firstLineChars="200" w:firstLine="480"/>
        <w:jc w:val="left"/>
        <w:rPr>
          <w:rFonts w:asciiTheme="minorEastAsia" w:hAnsiTheme="minorEastAsia" w:cstheme="minorEastAsia"/>
          <w:bCs/>
          <w:color w:val="000000"/>
          <w:sz w:val="24"/>
        </w:rPr>
      </w:pPr>
      <w:r>
        <w:rPr>
          <w:rFonts w:asciiTheme="minorEastAsia" w:hAnsiTheme="minorEastAsia" w:cstheme="minorEastAsia" w:hint="eastAsia"/>
          <w:bCs/>
          <w:color w:val="000000"/>
          <w:sz w:val="24"/>
        </w:rPr>
        <w:t>第一条  岗位设置数量：全校设置的研究生助教、助研、助管岗位总数应逐步达到非在职博士生总数的80%、非在职硕士生总数的50%以上。</w:t>
      </w:r>
    </w:p>
    <w:p w:rsidR="007137EF" w:rsidRDefault="007137EF" w:rsidP="007137EF">
      <w:pPr>
        <w:widowControl/>
        <w:spacing w:beforeLines="50" w:line="360" w:lineRule="auto"/>
        <w:ind w:firstLineChars="200" w:firstLine="480"/>
        <w:jc w:val="left"/>
        <w:rPr>
          <w:rFonts w:asciiTheme="minorEastAsia" w:hAnsiTheme="minorEastAsia" w:cstheme="minorEastAsia"/>
          <w:bCs/>
          <w:color w:val="000000"/>
          <w:sz w:val="24"/>
        </w:rPr>
      </w:pPr>
      <w:r>
        <w:rPr>
          <w:rFonts w:asciiTheme="minorEastAsia" w:hAnsiTheme="minorEastAsia" w:cstheme="minorEastAsia" w:hint="eastAsia"/>
          <w:bCs/>
          <w:color w:val="000000"/>
          <w:sz w:val="24"/>
        </w:rPr>
        <w:t>学校鼓励助研岗位的设立向博士生倾斜。各类学科为博士生设置的助研岗位，工科、农科不低于非在职博士生总数的60%，理科不低于50%，基础医学、社会科学类不低于35%，人文学科不低于20%。向博士生提供助研岗位数量低于上述规定的学科，学校将酌情削减该学科的博士生招生名额。</w:t>
      </w:r>
    </w:p>
    <w:p w:rsidR="007137EF" w:rsidRDefault="007137EF" w:rsidP="007137EF">
      <w:pPr>
        <w:widowControl/>
        <w:spacing w:beforeLines="50" w:line="360" w:lineRule="auto"/>
        <w:ind w:firstLineChars="200" w:firstLine="480"/>
        <w:jc w:val="left"/>
        <w:rPr>
          <w:rFonts w:asciiTheme="minorEastAsia" w:hAnsiTheme="minorEastAsia" w:cstheme="minorEastAsia"/>
          <w:bCs/>
          <w:color w:val="000000"/>
          <w:sz w:val="24"/>
        </w:rPr>
      </w:pPr>
      <w:r>
        <w:rPr>
          <w:rFonts w:asciiTheme="minorEastAsia" w:hAnsiTheme="minorEastAsia" w:cstheme="minorEastAsia" w:hint="eastAsia"/>
          <w:bCs/>
          <w:color w:val="000000"/>
          <w:sz w:val="24"/>
        </w:rPr>
        <w:t>第二条  “三助”岗位的设置方式以及助教、助管岗位的设置数目由研究生院统一部署，会同教务处、人事处、计财处、科技处、人文社科处共同计划、组织、分配和监督。</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bCs/>
          <w:color w:val="000000"/>
          <w:sz w:val="24"/>
        </w:rPr>
        <w:t>第三条</w:t>
      </w:r>
      <w:r>
        <w:rPr>
          <w:rFonts w:asciiTheme="minorEastAsia" w:hAnsiTheme="minorEastAsia" w:cstheme="minorEastAsia" w:hint="eastAsia"/>
          <w:color w:val="000000"/>
          <w:sz w:val="24"/>
        </w:rPr>
        <w:t xml:space="preserve"> 助研岗位的主要工作内容为：承担导师安排的科研任务及相关辅助性工作。</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助教岗位的主要工作内容为：承担公共基础课或专业基础课的作业批改、讲评、辅导、答疑等工作；试卷的批改和讲评工作；实验准备、指导等教辅工作以及实习课程的指导等教学任务。</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助管岗位的主要工作内容为：承担各类教学管理、科研管理、行政管理或思想教育管理的辅助工作；担任本科生班主任或各级党政领导的行政秘书；参加学校组织的挂职锻炼活动。</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第四条  学校每年提供100个教学岗位为研究生设置助教岗位。公共基础课助教岗位的设置由教务处和研究生培养处根据人事处下达的计划数分别确定。助研岗位由导师或课题组自行确定，学院其它“三助”岗位的设置由学院确定，报研究生管理处备案；学校机关及直属单位的助管岗位的设置由设岗单位提出申请，研究生管理处统筹确定。</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第五条  “三助”岗位的设置应分别在每年的3月和9月确定，并在学校行政办公网页或者学院网页上公布。挂职锻炼岗位一般在每年的4—5月确定，短期助管岗位和寒暑假期间的助研岗位可根据工作需要按规定程序随时设立。 </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bookmarkStart w:id="3" w:name="_Toc15636"/>
      <w:r>
        <w:rPr>
          <w:rFonts w:asciiTheme="minorEastAsia" w:hAnsiTheme="minorEastAsia" w:cstheme="minorEastAsia" w:hint="eastAsia"/>
          <w:color w:val="000000"/>
          <w:sz w:val="24"/>
        </w:rPr>
        <w:t>二、岗位申请与聘用</w:t>
      </w:r>
      <w:bookmarkEnd w:id="3"/>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第六条  在职研究生、受校纪处分的研究生不能申请“三助”岗位。</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助教、助管岗位申请人须填写相应的申请表。每位研究生一般只能应聘一个工作岗位。</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第七条  助研岗位的申请由申请人向导师或课题组提出，导师或课题组根据具体情况确定聘用名单后，报学院研究生教育科备案。</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学校机关、直属单位助管岗位的申请由设岗部门负责受理，聘用名单确定后由各设岗部门在其办公网页上公布，并报研究生管理处备案。</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公共基础课助教岗位的申请由教务处和研究生培养处分别受理，聘用名单确定后由教务处和研究生培养处在办公网页上公布，并报研究生管理处备案。</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学院其它“三助”岗位的申请由各学院研究生教育科负责受理。聘用名单确定后在学院范围内公布，并报研究生管理处备案。</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第八条  “三助”岗位每2个学期（按5个月计算）聘任一次。在选聘过程中，同等条件下应优先聘用博士生。未获聘研究生当学期不享受“三助”待遇。</w:t>
      </w:r>
      <w:r>
        <w:rPr>
          <w:rFonts w:asciiTheme="minorEastAsia" w:hAnsiTheme="minorEastAsia" w:cstheme="minorEastAsia" w:hint="eastAsia"/>
          <w:color w:val="000000"/>
          <w:sz w:val="24"/>
        </w:rPr>
        <w:lastRenderedPageBreak/>
        <w:t xml:space="preserve">短期助管岗位和寒暑假期间助研岗位的聘任根据工作需要确定，并按实际工作量发放津贴。 </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bookmarkStart w:id="4" w:name="_Toc3232"/>
      <w:r>
        <w:rPr>
          <w:rFonts w:asciiTheme="minorEastAsia" w:hAnsiTheme="minorEastAsia" w:cstheme="minorEastAsia" w:hint="eastAsia"/>
          <w:color w:val="000000"/>
          <w:sz w:val="24"/>
        </w:rPr>
        <w:t>三、工作要求与考核</w:t>
      </w:r>
      <w:bookmarkEnd w:id="4"/>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第九条  承担“三助”工作的研究生，每周必须保证相应的工作时间。助教、助管平均每周工作时间至少为3个单位（半天为一个单位），助研的工作时间由导师或课题组安排。</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第十条  “三助”岗位的考核在两个时间（6月中旬前和12月中旬前）进行。助教岗位的考核纳入教务处和研究生培养处的教学考核范围，助研岗位主要由导师或课题组考核，助管岗位主要由设岗单位考核。短期助管岗位和寒暑假期间助研岗位的考核应在任务完成时进行。挂职锻炼的考核由党委研究生工作部（简称研工部，下同）负责。</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第十一条  研究生在读期间受聘担任“三助”岗位的表现是研究生考核的重要内容，同时也是今后学校选拔研究生留校工作的重要参考依据。担任“三助”岗位的研究生如对岗位工作不认真负责的，设岗课程的主讲老师、设岗的导师（课题组）和相关管理部门可以提出终止该研究生“三助”工作的建议，经学校有关部门或学院审核同意后，视为岗位考核不合格报研究生管理处备案。岗位考核不合格的研究生不得参加下一学期“三助”岗位的应聘。研究生“三助”岗位的考核细则由各设岗单位另行制定，研究生管理处备案。 </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bookmarkStart w:id="5" w:name="_Toc14835"/>
      <w:r>
        <w:rPr>
          <w:rFonts w:asciiTheme="minorEastAsia" w:hAnsiTheme="minorEastAsia" w:cstheme="minorEastAsia" w:hint="eastAsia"/>
          <w:color w:val="000000"/>
          <w:sz w:val="24"/>
        </w:rPr>
        <w:t>四、津贴标准与发放</w:t>
      </w:r>
      <w:bookmarkEnd w:id="5"/>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第十二条  参加“三助”岗位工作、经考核合格的研究生发给“三助”津贴。“三助”津贴的发放标准为： </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助教：每人每月400元；</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助管：每人每月400元，挂职锻炼岗位的发放标准另定，短期助管的津贴可按实际工作时间参照折算；</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助研：博士生每月不低于300元，硕士生每月不低于150元。</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第十三条  寒暑假期间助研岗位的津贴标准为：博士生每人每月不低于800元，硕士生每人每月不低于600。寒假按1个月、暑假按2个月计算，不满整月的，可按实际工作时间参照折算。</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第十四条  在医学院各附属医院参与临床工作的研究生（助医），其工作津贴标准由各附属医院参照“三助”标准另行确定和发放。</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第十五条  “三助”津贴分别在每年的6月下旬和12月下旬由计财处发放。寒假期间助研津贴于每年3月、暑假期间助研津贴于每年9月发放。</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第十六条  学校全额支付的津贴以及由学校配套的津贴每两个学期按5个月的标准发放。</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第十七条  除短期助管津贴外，其他所有研究生“三助”津贴均直接划入完成“三助”任务研究生的银行卡中。学校在发放“三助”津贴时，根据国家有关法规，代为扣除个人所得税。</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bookmarkStart w:id="6" w:name="_Toc5831"/>
      <w:r>
        <w:rPr>
          <w:rFonts w:asciiTheme="minorEastAsia" w:hAnsiTheme="minorEastAsia" w:cstheme="minorEastAsia" w:hint="eastAsia"/>
          <w:color w:val="000000"/>
          <w:sz w:val="24"/>
        </w:rPr>
        <w:t>五、经费来源与管理</w:t>
      </w:r>
      <w:bookmarkEnd w:id="6"/>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第十八条  研究生“三助”经费来源主要有：学校岗位聘任中用于流动岗位的经费，导师的科研经费，设岗单位提供的经费，上级部门和学校下拨的勤工助学专项经费。</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第十九条  公共基础课的助教津贴由学校“三助”经费全额支付，专业基础课的助教津贴由学院筹集和发放；助管津贴由学校出资；短期助管津贴由设岗单位支付。</w:t>
      </w: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第二十条  学校鼓励导师为研究生设立助研岗位，如果导师提供的津贴达到一定标准（如下表所列），学校将提供配套经费予以支持；低于标准的，学校不予配套。寒暑假期间的助研岗位津贴由导师全额支付，学校不予配套。助研津贴的具体标准为（单位：元/月·人）：</w:t>
      </w:r>
    </w:p>
    <w:tbl>
      <w:tblPr>
        <w:tblpPr w:leftFromText="180" w:rightFromText="180" w:vertAnchor="text" w:horzAnchor="margin" w:tblpXSpec="center" w:tblpY="65"/>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0"/>
        <w:gridCol w:w="1106"/>
        <w:gridCol w:w="1218"/>
        <w:gridCol w:w="1236"/>
        <w:gridCol w:w="1688"/>
      </w:tblGrid>
      <w:tr w:rsidR="007137EF" w:rsidTr="002B77CC">
        <w:tc>
          <w:tcPr>
            <w:tcW w:w="980" w:type="dxa"/>
            <w:vAlign w:val="center"/>
          </w:tcPr>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研究生</w:t>
            </w:r>
          </w:p>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类别</w:t>
            </w:r>
          </w:p>
        </w:tc>
        <w:tc>
          <w:tcPr>
            <w:tcW w:w="1106" w:type="dxa"/>
            <w:vAlign w:val="center"/>
          </w:tcPr>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最低合计</w:t>
            </w:r>
          </w:p>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（元）</w:t>
            </w:r>
          </w:p>
        </w:tc>
        <w:tc>
          <w:tcPr>
            <w:tcW w:w="1218" w:type="dxa"/>
            <w:vAlign w:val="center"/>
          </w:tcPr>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导师至少</w:t>
            </w:r>
          </w:p>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支付金额</w:t>
            </w:r>
          </w:p>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（元）</w:t>
            </w:r>
          </w:p>
        </w:tc>
        <w:tc>
          <w:tcPr>
            <w:tcW w:w="1236" w:type="dxa"/>
            <w:vAlign w:val="center"/>
          </w:tcPr>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学校配套</w:t>
            </w:r>
          </w:p>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补贴金额</w:t>
            </w:r>
          </w:p>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（元）</w:t>
            </w:r>
          </w:p>
        </w:tc>
        <w:tc>
          <w:tcPr>
            <w:tcW w:w="1688" w:type="dxa"/>
          </w:tcPr>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备注</w:t>
            </w:r>
          </w:p>
        </w:tc>
      </w:tr>
      <w:tr w:rsidR="007137EF" w:rsidTr="002B77CC">
        <w:trPr>
          <w:cantSplit/>
          <w:trHeight w:val="584"/>
        </w:trPr>
        <w:tc>
          <w:tcPr>
            <w:tcW w:w="980" w:type="dxa"/>
            <w:vAlign w:val="center"/>
          </w:tcPr>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lastRenderedPageBreak/>
              <w:t>博士生</w:t>
            </w:r>
          </w:p>
        </w:tc>
        <w:tc>
          <w:tcPr>
            <w:tcW w:w="1106" w:type="dxa"/>
            <w:vAlign w:val="center"/>
          </w:tcPr>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300</w:t>
            </w:r>
          </w:p>
        </w:tc>
        <w:tc>
          <w:tcPr>
            <w:tcW w:w="1218" w:type="dxa"/>
            <w:vAlign w:val="center"/>
          </w:tcPr>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200</w:t>
            </w:r>
          </w:p>
        </w:tc>
        <w:tc>
          <w:tcPr>
            <w:tcW w:w="1236" w:type="dxa"/>
            <w:vAlign w:val="center"/>
          </w:tcPr>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100</w:t>
            </w:r>
          </w:p>
        </w:tc>
        <w:tc>
          <w:tcPr>
            <w:tcW w:w="1688" w:type="dxa"/>
            <w:vMerge w:val="restart"/>
          </w:tcPr>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超额支付部分金额由导师从横向课题经费或科研发展金中支付。</w:t>
            </w:r>
          </w:p>
        </w:tc>
      </w:tr>
      <w:tr w:rsidR="007137EF" w:rsidTr="002B77CC">
        <w:trPr>
          <w:cantSplit/>
          <w:trHeight w:val="157"/>
        </w:trPr>
        <w:tc>
          <w:tcPr>
            <w:tcW w:w="980" w:type="dxa"/>
            <w:vAlign w:val="center"/>
          </w:tcPr>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硕士生</w:t>
            </w:r>
          </w:p>
        </w:tc>
        <w:tc>
          <w:tcPr>
            <w:tcW w:w="1106" w:type="dxa"/>
            <w:vAlign w:val="center"/>
          </w:tcPr>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150</w:t>
            </w:r>
          </w:p>
        </w:tc>
        <w:tc>
          <w:tcPr>
            <w:tcW w:w="1218" w:type="dxa"/>
            <w:vAlign w:val="center"/>
          </w:tcPr>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100</w:t>
            </w:r>
          </w:p>
        </w:tc>
        <w:tc>
          <w:tcPr>
            <w:tcW w:w="1236" w:type="dxa"/>
            <w:vAlign w:val="center"/>
          </w:tcPr>
          <w:p w:rsidR="007137EF" w:rsidRDefault="007137EF" w:rsidP="002B77CC">
            <w:pPr>
              <w:spacing w:line="360" w:lineRule="auto"/>
              <w:jc w:val="center"/>
              <w:rPr>
                <w:rFonts w:asciiTheme="minorEastAsia" w:hAnsiTheme="minorEastAsia" w:cstheme="minorEastAsia"/>
                <w:szCs w:val="30"/>
              </w:rPr>
            </w:pPr>
            <w:r>
              <w:rPr>
                <w:rFonts w:asciiTheme="minorEastAsia" w:hAnsiTheme="minorEastAsia" w:cstheme="minorEastAsia" w:hint="eastAsia"/>
                <w:szCs w:val="30"/>
              </w:rPr>
              <w:t>50</w:t>
            </w:r>
          </w:p>
        </w:tc>
        <w:tc>
          <w:tcPr>
            <w:tcW w:w="1688" w:type="dxa"/>
            <w:vMerge/>
          </w:tcPr>
          <w:p w:rsidR="007137EF" w:rsidRDefault="007137EF" w:rsidP="002B77CC">
            <w:pPr>
              <w:spacing w:line="360" w:lineRule="auto"/>
              <w:jc w:val="center"/>
              <w:rPr>
                <w:rFonts w:asciiTheme="minorEastAsia" w:hAnsiTheme="minorEastAsia" w:cstheme="minorEastAsia"/>
                <w:szCs w:val="30"/>
              </w:rPr>
            </w:pPr>
          </w:p>
        </w:tc>
      </w:tr>
    </w:tbl>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p>
    <w:p w:rsidR="007137EF" w:rsidRDefault="007137EF" w:rsidP="007137EF">
      <w:pPr>
        <w:widowControl/>
        <w:spacing w:beforeLines="50" w:line="360" w:lineRule="auto"/>
        <w:jc w:val="left"/>
        <w:rPr>
          <w:rFonts w:asciiTheme="minorEastAsia" w:hAnsiTheme="minorEastAsia" w:cstheme="minorEastAsia"/>
          <w:color w:val="000000"/>
          <w:sz w:val="24"/>
        </w:rPr>
      </w:pPr>
    </w:p>
    <w:p w:rsidR="007137EF" w:rsidRDefault="007137EF" w:rsidP="007137EF">
      <w:pPr>
        <w:widowControl/>
        <w:spacing w:beforeLines="50" w:line="360" w:lineRule="auto"/>
        <w:jc w:val="left"/>
        <w:rPr>
          <w:rFonts w:asciiTheme="minorEastAsia" w:hAnsiTheme="minorEastAsia" w:cstheme="minorEastAsia"/>
          <w:color w:val="000000"/>
          <w:sz w:val="24"/>
        </w:rPr>
      </w:pPr>
    </w:p>
    <w:p w:rsidR="007137EF" w:rsidRDefault="007137EF" w:rsidP="007137EF">
      <w:pPr>
        <w:widowControl/>
        <w:spacing w:beforeLines="50" w:line="360" w:lineRule="auto"/>
        <w:ind w:firstLineChars="200" w:firstLine="480"/>
        <w:jc w:val="left"/>
        <w:rPr>
          <w:rFonts w:asciiTheme="minorEastAsia" w:hAnsiTheme="minorEastAsia" w:cstheme="minorEastAsia"/>
          <w:color w:val="000000"/>
          <w:sz w:val="24"/>
        </w:rPr>
      </w:pPr>
      <w:r>
        <w:rPr>
          <w:rFonts w:asciiTheme="minorEastAsia" w:hAnsiTheme="minorEastAsia" w:cstheme="minorEastAsia" w:hint="eastAsia"/>
          <w:color w:val="000000"/>
          <w:sz w:val="24"/>
        </w:rPr>
        <w:t>第二十一条  本办法自2006年4月1日起实施，由研究生院负责解释。浙大发研[2002]40号文同时废止。</w:t>
      </w:r>
    </w:p>
    <w:p w:rsidR="007137EF" w:rsidRDefault="007137EF" w:rsidP="007137EF">
      <w:pPr>
        <w:widowControl/>
        <w:spacing w:beforeLines="50" w:line="360" w:lineRule="auto"/>
        <w:ind w:firstLineChars="200" w:firstLine="480"/>
        <w:jc w:val="right"/>
        <w:rPr>
          <w:rFonts w:asciiTheme="minorEastAsia" w:hAnsiTheme="minorEastAsia" w:cstheme="minorEastAsia"/>
          <w:color w:val="000000"/>
          <w:sz w:val="24"/>
        </w:rPr>
      </w:pPr>
      <w:r>
        <w:rPr>
          <w:rFonts w:asciiTheme="minorEastAsia" w:hAnsiTheme="minorEastAsia" w:cstheme="minorEastAsia" w:hint="eastAsia"/>
          <w:color w:val="000000"/>
          <w:sz w:val="24"/>
        </w:rPr>
        <w:t>浙 江 大 学</w:t>
      </w:r>
    </w:p>
    <w:p w:rsidR="007137EF" w:rsidRDefault="007137EF" w:rsidP="007137EF">
      <w:pPr>
        <w:widowControl/>
        <w:spacing w:beforeLines="50" w:line="360" w:lineRule="auto"/>
        <w:ind w:firstLineChars="200" w:firstLine="480"/>
        <w:jc w:val="right"/>
        <w:rPr>
          <w:rFonts w:asciiTheme="minorEastAsia" w:hAnsiTheme="minorEastAsia" w:cstheme="minorEastAsia"/>
          <w:color w:val="000000"/>
          <w:sz w:val="24"/>
        </w:rPr>
      </w:pPr>
      <w:r>
        <w:rPr>
          <w:rFonts w:asciiTheme="minorEastAsia" w:hAnsiTheme="minorEastAsia" w:cstheme="minorEastAsia" w:hint="eastAsia"/>
          <w:color w:val="000000"/>
          <w:sz w:val="24"/>
        </w:rPr>
        <w:t>二○○六年四月五日</w:t>
      </w:r>
    </w:p>
    <w:p w:rsidR="007137EF" w:rsidRDefault="007137EF" w:rsidP="007137EF">
      <w:pPr>
        <w:widowControl/>
        <w:spacing w:beforeLines="50" w:line="360" w:lineRule="auto"/>
        <w:jc w:val="left"/>
        <w:rPr>
          <w:rFonts w:asciiTheme="minorEastAsia" w:hAnsiTheme="minorEastAsia" w:cstheme="minorEastAsia"/>
          <w:color w:val="000000"/>
          <w:sz w:val="44"/>
          <w:szCs w:val="44"/>
        </w:rPr>
      </w:pPr>
    </w:p>
    <w:p w:rsidR="007137EF" w:rsidRDefault="007137EF" w:rsidP="007137EF">
      <w:pPr>
        <w:widowControl/>
        <w:spacing w:beforeLines="50" w:line="360" w:lineRule="auto"/>
        <w:jc w:val="left"/>
        <w:rPr>
          <w:rFonts w:asciiTheme="minorEastAsia" w:hAnsiTheme="minorEastAsia" w:cstheme="minorEastAsia"/>
          <w:b/>
          <w:color w:val="000000"/>
          <w:sz w:val="44"/>
          <w:szCs w:val="44"/>
        </w:rPr>
      </w:pPr>
    </w:p>
    <w:p w:rsidR="00D91D22" w:rsidRPr="007137EF" w:rsidRDefault="00D91D22" w:rsidP="007137EF"/>
    <w:sectPr w:rsidR="00D91D22" w:rsidRPr="007137EF" w:rsidSect="00D91D2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C11" w:rsidRDefault="007D5C11" w:rsidP="00D91D22">
      <w:r>
        <w:separator/>
      </w:r>
    </w:p>
  </w:endnote>
  <w:endnote w:type="continuationSeparator" w:id="1">
    <w:p w:rsidR="007D5C11" w:rsidRDefault="007D5C11" w:rsidP="00D91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22" w:rsidRDefault="00EB2F71">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D91D22" w:rsidRDefault="00EB2F71">
                <w:pPr>
                  <w:pStyle w:val="a4"/>
                </w:pPr>
                <w:r>
                  <w:rPr>
                    <w:rFonts w:hint="eastAsia"/>
                  </w:rPr>
                  <w:fldChar w:fldCharType="begin"/>
                </w:r>
                <w:r w:rsidR="00B50E6D">
                  <w:rPr>
                    <w:rFonts w:hint="eastAsia"/>
                  </w:rPr>
                  <w:instrText xml:space="preserve"> PAGE  \* MERGEFORMAT </w:instrText>
                </w:r>
                <w:r>
                  <w:rPr>
                    <w:rFonts w:hint="eastAsia"/>
                  </w:rPr>
                  <w:fldChar w:fldCharType="separate"/>
                </w:r>
                <w:r w:rsidR="007137EF">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C11" w:rsidRDefault="007D5C11" w:rsidP="00D91D22">
      <w:r>
        <w:separator/>
      </w:r>
    </w:p>
  </w:footnote>
  <w:footnote w:type="continuationSeparator" w:id="1">
    <w:p w:rsidR="007D5C11" w:rsidRDefault="007D5C11" w:rsidP="00D91D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6506FC"/>
    <w:multiLevelType w:val="singleLevel"/>
    <w:tmpl w:val="E96506FC"/>
    <w:lvl w:ilvl="0">
      <w:start w:val="1"/>
      <w:numFmt w:val="chineseCounting"/>
      <w:suff w:val="nothing"/>
      <w:lvlText w:val="%1、"/>
      <w:lvlJc w:val="left"/>
      <w:rPr>
        <w:rFonts w:hint="eastAsia"/>
      </w:rPr>
    </w:lvl>
  </w:abstractNum>
  <w:abstractNum w:abstractNumId="1">
    <w:nsid w:val="09EA14E7"/>
    <w:multiLevelType w:val="multilevel"/>
    <w:tmpl w:val="09EA14E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420"/>
        </w:tabs>
        <w:ind w:left="42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4728ACD"/>
    <w:multiLevelType w:val="singleLevel"/>
    <w:tmpl w:val="24728ACD"/>
    <w:lvl w:ilvl="0">
      <w:start w:val="22"/>
      <w:numFmt w:val="decimal"/>
      <w:suff w:val="nothing"/>
      <w:lvlText w:val="%1．"/>
      <w:lvlJc w:val="left"/>
    </w:lvl>
  </w:abstractNum>
  <w:abstractNum w:abstractNumId="3">
    <w:nsid w:val="41116A28"/>
    <w:multiLevelType w:val="multilevel"/>
    <w:tmpl w:val="41116A2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675C11C1"/>
    <w:multiLevelType w:val="singleLevel"/>
    <w:tmpl w:val="675C11C1"/>
    <w:lvl w:ilvl="0">
      <w:start w:val="6"/>
      <w:numFmt w:val="decimal"/>
      <w:suff w:val="nothing"/>
      <w:lvlText w:val="（%1）"/>
      <w:lvlJc w:val="left"/>
    </w:lvl>
  </w:abstractNum>
  <w:abstractNum w:abstractNumId="5">
    <w:nsid w:val="6D6E7623"/>
    <w:multiLevelType w:val="multilevel"/>
    <w:tmpl w:val="6D6E762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78275554"/>
    <w:multiLevelType w:val="multilevel"/>
    <w:tmpl w:val="7827555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1331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9410E5F"/>
    <w:rsid w:val="000A05DF"/>
    <w:rsid w:val="000A1AC3"/>
    <w:rsid w:val="003915B3"/>
    <w:rsid w:val="003D62FC"/>
    <w:rsid w:val="0057417B"/>
    <w:rsid w:val="007137EF"/>
    <w:rsid w:val="00731E56"/>
    <w:rsid w:val="0079414B"/>
    <w:rsid w:val="007D181B"/>
    <w:rsid w:val="007D5C11"/>
    <w:rsid w:val="009F1888"/>
    <w:rsid w:val="00AE47A5"/>
    <w:rsid w:val="00B50E6D"/>
    <w:rsid w:val="00C75508"/>
    <w:rsid w:val="00C777F1"/>
    <w:rsid w:val="00CC185A"/>
    <w:rsid w:val="00CF0D55"/>
    <w:rsid w:val="00D91D22"/>
    <w:rsid w:val="00DD3B66"/>
    <w:rsid w:val="00DE0591"/>
    <w:rsid w:val="00E513DD"/>
    <w:rsid w:val="00EB2F71"/>
    <w:rsid w:val="00EB48C7"/>
    <w:rsid w:val="012F2C38"/>
    <w:rsid w:val="044149F6"/>
    <w:rsid w:val="06D7644F"/>
    <w:rsid w:val="093B7BB8"/>
    <w:rsid w:val="0D2834A4"/>
    <w:rsid w:val="0D8523ED"/>
    <w:rsid w:val="0DA36F76"/>
    <w:rsid w:val="0EB76FC2"/>
    <w:rsid w:val="1091308E"/>
    <w:rsid w:val="11BA17B7"/>
    <w:rsid w:val="12003DBF"/>
    <w:rsid w:val="151653C0"/>
    <w:rsid w:val="159E414C"/>
    <w:rsid w:val="16A749EE"/>
    <w:rsid w:val="16C26DE8"/>
    <w:rsid w:val="1A410DE1"/>
    <w:rsid w:val="1A4E1828"/>
    <w:rsid w:val="1AC5571A"/>
    <w:rsid w:val="1B244FC6"/>
    <w:rsid w:val="1B2B4DFC"/>
    <w:rsid w:val="1BF96AF5"/>
    <w:rsid w:val="1C48291D"/>
    <w:rsid w:val="1EE11856"/>
    <w:rsid w:val="1F03787B"/>
    <w:rsid w:val="1F8D7D70"/>
    <w:rsid w:val="20127392"/>
    <w:rsid w:val="22685789"/>
    <w:rsid w:val="24473791"/>
    <w:rsid w:val="27635109"/>
    <w:rsid w:val="2A07741C"/>
    <w:rsid w:val="2B386BE7"/>
    <w:rsid w:val="2BBA4A16"/>
    <w:rsid w:val="2F7B430B"/>
    <w:rsid w:val="30786AE5"/>
    <w:rsid w:val="337D0F3C"/>
    <w:rsid w:val="338A01B3"/>
    <w:rsid w:val="33D27A01"/>
    <w:rsid w:val="33FF05D9"/>
    <w:rsid w:val="34841041"/>
    <w:rsid w:val="351B083D"/>
    <w:rsid w:val="356858BD"/>
    <w:rsid w:val="385828BC"/>
    <w:rsid w:val="3ABA411F"/>
    <w:rsid w:val="3B2544D1"/>
    <w:rsid w:val="3B463A75"/>
    <w:rsid w:val="3DFF4BAF"/>
    <w:rsid w:val="3E136894"/>
    <w:rsid w:val="3E3A3986"/>
    <w:rsid w:val="3ECE012F"/>
    <w:rsid w:val="3FEF659B"/>
    <w:rsid w:val="409217F9"/>
    <w:rsid w:val="45182783"/>
    <w:rsid w:val="459464B1"/>
    <w:rsid w:val="45B733AC"/>
    <w:rsid w:val="462F77B1"/>
    <w:rsid w:val="47A35C64"/>
    <w:rsid w:val="47E043FD"/>
    <w:rsid w:val="48884A49"/>
    <w:rsid w:val="49456C7D"/>
    <w:rsid w:val="49C26B0F"/>
    <w:rsid w:val="49E1655C"/>
    <w:rsid w:val="4AF1567C"/>
    <w:rsid w:val="4B8020DB"/>
    <w:rsid w:val="4B9A5451"/>
    <w:rsid w:val="4D3C0498"/>
    <w:rsid w:val="4D6430CC"/>
    <w:rsid w:val="4E9F2841"/>
    <w:rsid w:val="4F1B5647"/>
    <w:rsid w:val="4F645BF8"/>
    <w:rsid w:val="500129D8"/>
    <w:rsid w:val="50105AD4"/>
    <w:rsid w:val="502C1893"/>
    <w:rsid w:val="51F804EA"/>
    <w:rsid w:val="52AA32DC"/>
    <w:rsid w:val="54016DE0"/>
    <w:rsid w:val="54913DF5"/>
    <w:rsid w:val="54D40F52"/>
    <w:rsid w:val="5832404E"/>
    <w:rsid w:val="588B4C0A"/>
    <w:rsid w:val="59A048D6"/>
    <w:rsid w:val="5B903378"/>
    <w:rsid w:val="5BE606AC"/>
    <w:rsid w:val="5E6632EC"/>
    <w:rsid w:val="5F3D70F1"/>
    <w:rsid w:val="5F830DB6"/>
    <w:rsid w:val="5FB53A33"/>
    <w:rsid w:val="61F61207"/>
    <w:rsid w:val="65350B79"/>
    <w:rsid w:val="65967BE3"/>
    <w:rsid w:val="680D13A4"/>
    <w:rsid w:val="68C51E13"/>
    <w:rsid w:val="69410E5F"/>
    <w:rsid w:val="69D17953"/>
    <w:rsid w:val="6C9E2AA9"/>
    <w:rsid w:val="6D773940"/>
    <w:rsid w:val="6E1053DC"/>
    <w:rsid w:val="6E2C26C7"/>
    <w:rsid w:val="6E5A6F0E"/>
    <w:rsid w:val="6F7065C8"/>
    <w:rsid w:val="70AA3B60"/>
    <w:rsid w:val="713357B5"/>
    <w:rsid w:val="76753E97"/>
    <w:rsid w:val="77441F3F"/>
    <w:rsid w:val="778D1CBD"/>
    <w:rsid w:val="7A652D5B"/>
    <w:rsid w:val="7BAD3D57"/>
    <w:rsid w:val="7D405662"/>
    <w:rsid w:val="7F352CA3"/>
    <w:rsid w:val="7F6D44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1D2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91D22"/>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91D22"/>
    <w:pPr>
      <w:spacing w:line="360" w:lineRule="auto"/>
      <w:ind w:firstLineChars="200" w:firstLine="480"/>
    </w:pPr>
    <w:rPr>
      <w:sz w:val="24"/>
    </w:rPr>
  </w:style>
  <w:style w:type="paragraph" w:styleId="2">
    <w:name w:val="Body Text Indent 2"/>
    <w:basedOn w:val="a"/>
    <w:qFormat/>
    <w:rsid w:val="00D91D22"/>
    <w:pPr>
      <w:spacing w:after="120" w:line="480" w:lineRule="auto"/>
      <w:ind w:leftChars="200" w:left="420"/>
    </w:pPr>
  </w:style>
  <w:style w:type="paragraph" w:styleId="a4">
    <w:name w:val="footer"/>
    <w:basedOn w:val="a"/>
    <w:qFormat/>
    <w:rsid w:val="00D91D22"/>
    <w:pPr>
      <w:tabs>
        <w:tab w:val="center" w:pos="4153"/>
        <w:tab w:val="right" w:pos="8306"/>
      </w:tabs>
      <w:snapToGrid w:val="0"/>
      <w:jc w:val="left"/>
    </w:pPr>
    <w:rPr>
      <w:sz w:val="18"/>
    </w:rPr>
  </w:style>
  <w:style w:type="paragraph" w:styleId="a5">
    <w:name w:val="header"/>
    <w:basedOn w:val="a"/>
    <w:qFormat/>
    <w:rsid w:val="00D91D2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D91D22"/>
    <w:pPr>
      <w:widowControl/>
      <w:spacing w:before="100" w:beforeAutospacing="1" w:after="100" w:afterAutospacing="1"/>
      <w:jc w:val="left"/>
    </w:pPr>
    <w:rPr>
      <w:rFonts w:ascii="宋体" w:hAnsi="宋体" w:cs="宋体"/>
      <w:kern w:val="0"/>
      <w:sz w:val="24"/>
    </w:rPr>
  </w:style>
  <w:style w:type="character" w:styleId="a7">
    <w:name w:val="Hyperlink"/>
    <w:qFormat/>
    <w:rsid w:val="00D91D22"/>
    <w:rPr>
      <w:color w:val="3A3A3A"/>
      <w:sz w:val="18"/>
      <w:szCs w:val="18"/>
      <w:u w:val="none"/>
    </w:rPr>
  </w:style>
  <w:style w:type="paragraph" w:customStyle="1" w:styleId="Default">
    <w:name w:val="Default"/>
    <w:qFormat/>
    <w:rsid w:val="00D91D22"/>
    <w:pPr>
      <w:widowControl w:val="0"/>
      <w:autoSpaceDE w:val="0"/>
      <w:autoSpaceDN w:val="0"/>
      <w:adjustRightInd w:val="0"/>
    </w:pPr>
    <w:rPr>
      <w:rFonts w:ascii="宋体" w:eastAsiaTheme="minorEastAsia" w:hAnsi="Calibri" w:cs="宋体"/>
      <w:color w:val="000000"/>
      <w:sz w:val="24"/>
      <w:szCs w:val="24"/>
    </w:rPr>
  </w:style>
  <w:style w:type="character" w:customStyle="1" w:styleId="font91">
    <w:name w:val="font91"/>
    <w:qFormat/>
    <w:rsid w:val="00D91D22"/>
    <w:rPr>
      <w:rFonts w:ascii="宋体" w:eastAsia="宋体" w:hAnsi="宋体" w:cs="宋体" w:hint="eastAsia"/>
      <w:color w:val="000000"/>
      <w:sz w:val="21"/>
      <w:szCs w:val="21"/>
      <w:u w:val="none"/>
    </w:rPr>
  </w:style>
  <w:style w:type="character" w:customStyle="1" w:styleId="font71">
    <w:name w:val="font71"/>
    <w:qFormat/>
    <w:rsid w:val="00D91D22"/>
    <w:rPr>
      <w:rFonts w:ascii="宋体" w:eastAsia="宋体" w:hAnsi="宋体" w:cs="宋体" w:hint="eastAsia"/>
      <w:color w:val="333333"/>
      <w:sz w:val="21"/>
      <w:szCs w:val="21"/>
      <w:u w:val="none"/>
    </w:rPr>
  </w:style>
  <w:style w:type="character" w:customStyle="1" w:styleId="font101">
    <w:name w:val="font101"/>
    <w:qFormat/>
    <w:rsid w:val="00D91D22"/>
    <w:rPr>
      <w:rFonts w:ascii="Times New Roman" w:hAnsi="Times New Roman" w:cs="Times New Roman" w:hint="default"/>
      <w:color w:val="333333"/>
      <w:sz w:val="21"/>
      <w:szCs w:val="21"/>
      <w:u w:val="none"/>
    </w:rPr>
  </w:style>
  <w:style w:type="character" w:customStyle="1" w:styleId="font41">
    <w:name w:val="font41"/>
    <w:qFormat/>
    <w:rsid w:val="00D91D22"/>
    <w:rPr>
      <w:rFonts w:ascii="宋体" w:eastAsia="宋体" w:hAnsi="宋体" w:cs="宋体" w:hint="eastAsia"/>
      <w:color w:val="000000"/>
      <w:sz w:val="21"/>
      <w:szCs w:val="21"/>
      <w:u w:val="none"/>
    </w:rPr>
  </w:style>
  <w:style w:type="character" w:customStyle="1" w:styleId="font81">
    <w:name w:val="font81"/>
    <w:qFormat/>
    <w:rsid w:val="00D91D22"/>
    <w:rPr>
      <w:rFonts w:ascii="宋体" w:eastAsia="宋体" w:hAnsi="宋体" w:cs="宋体" w:hint="eastAsia"/>
      <w:color w:val="000000"/>
      <w:sz w:val="22"/>
      <w:szCs w:val="22"/>
      <w:u w:val="none"/>
    </w:rPr>
  </w:style>
  <w:style w:type="character" w:customStyle="1" w:styleId="font61">
    <w:name w:val="font61"/>
    <w:qFormat/>
    <w:rsid w:val="00D91D22"/>
    <w:rPr>
      <w:rFonts w:ascii="宋体" w:eastAsia="宋体" w:hAnsi="宋体" w:cs="宋体" w:hint="eastAsia"/>
      <w:color w:val="000000"/>
      <w:sz w:val="22"/>
      <w:szCs w:val="22"/>
      <w:u w:val="none"/>
    </w:rPr>
  </w:style>
  <w:style w:type="character" w:customStyle="1" w:styleId="font31">
    <w:name w:val="font31"/>
    <w:qFormat/>
    <w:rsid w:val="00D91D22"/>
    <w:rPr>
      <w:rFonts w:ascii="宋体" w:eastAsia="宋体" w:hAnsi="宋体" w:cs="宋体" w:hint="eastAsia"/>
      <w:color w:val="000000"/>
      <w:sz w:val="21"/>
      <w:szCs w:val="21"/>
      <w:u w:val="none"/>
    </w:rPr>
  </w:style>
  <w:style w:type="character" w:customStyle="1" w:styleId="font11">
    <w:name w:val="font11"/>
    <w:qFormat/>
    <w:rsid w:val="00D91D22"/>
    <w:rPr>
      <w:rFonts w:ascii="Times New Roman" w:hAnsi="Times New Roman" w:cs="Times New Roman" w:hint="default"/>
      <w:color w:val="000000"/>
      <w:sz w:val="21"/>
      <w:szCs w:val="21"/>
      <w:u w:val="none"/>
    </w:rPr>
  </w:style>
  <w:style w:type="paragraph" w:customStyle="1" w:styleId="WPSOffice1">
    <w:name w:val="WPSOffice手动目录 1"/>
    <w:qFormat/>
    <w:rsid w:val="00D91D22"/>
  </w:style>
  <w:style w:type="paragraph" w:customStyle="1" w:styleId="WPSOffice2">
    <w:name w:val="WPSOffice手动目录 2"/>
    <w:qFormat/>
    <w:rsid w:val="00D91D22"/>
    <w:pPr>
      <w:ind w:leftChars="200" w:left="200"/>
    </w:pPr>
  </w:style>
  <w:style w:type="paragraph" w:styleId="a8">
    <w:name w:val="Balloon Text"/>
    <w:basedOn w:val="a"/>
    <w:link w:val="Char"/>
    <w:rsid w:val="000A1AC3"/>
    <w:rPr>
      <w:sz w:val="18"/>
      <w:szCs w:val="18"/>
    </w:rPr>
  </w:style>
  <w:style w:type="character" w:customStyle="1" w:styleId="Char">
    <w:name w:val="批注框文本 Char"/>
    <w:basedOn w:val="a0"/>
    <w:link w:val="a8"/>
    <w:rsid w:val="000A1AC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7"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dimgxuemei</dc:creator>
  <cp:lastModifiedBy>Dell</cp:lastModifiedBy>
  <cp:revision>3</cp:revision>
  <dcterms:created xsi:type="dcterms:W3CDTF">2019-05-20T09:11:00Z</dcterms:created>
  <dcterms:modified xsi:type="dcterms:W3CDTF">2019-05-20T09:12:00Z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