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方正仿宋_GB2312" w:hAnsi="方正仿宋_GB2312" w:eastAsia="方正仿宋_GB2312" w:cs="方正仿宋_GB2312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28"/>
          <w:szCs w:val="28"/>
          <w:lang w:val="en-US" w:eastAsia="zh-CN"/>
        </w:rPr>
        <w:t>学习材料目录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《习近平关于“不忘初心、牢记使命”重要论述选编》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习近平总书记在中央政治局第十五次集体学习上重要讲话精神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习近平总书记在中央和国家机关党的建设工作会议上重要讲话精神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习近平总书记在内蒙古考察并指导开展“不忘初心、牢记使命”主题教育时的重要讲话精神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习近平总书记对浙江省及浙江大学的重要指示批示精神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《习近平新时代中国特色社会主义思想学习纲要》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《习近平新时代中国特色社会主义思想三十讲》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 xml:space="preserve"> 《习近平谈治国理政》第二卷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 xml:space="preserve"> 《习近平谈治国理政》第一卷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《关于新形势下党内政治生活的若干准则》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《中国共产党章程》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《中国共产党纪律处分条例》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《平“语”近人——习近平总书记用典》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 xml:space="preserve"> 政论微视频《习近平用典》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大型政论专题片《将改革进行到底》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《我们一起走过——致敬改革开放40周年》</w:t>
      </w:r>
    </w:p>
    <w:p>
      <w:pPr>
        <w:numPr>
          <w:ilvl w:val="0"/>
          <w:numId w:val="1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《党史故事100讲》</w:t>
      </w:r>
    </w:p>
    <w:p>
      <w:pPr>
        <w:numPr>
          <w:numId w:val="0"/>
        </w:numP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（材料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参考网站：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"https://webplus.zju.edu.cn/_s591/xxzl/list1.psp"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https://webplus.zju.edu.cn/_s591/xxzl/list1.psp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_GB2312" w:eastAsia="仿宋_GB2312"/>
          <w:color w:val="000000"/>
          <w:sz w:val="28"/>
          <w:szCs w:val="23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BBFC1B-776A-4CC0-A6FB-D28AEE7652F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6A2B034-6B39-4364-8523-1C1F297C26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3BD5F"/>
    <w:multiLevelType w:val="singleLevel"/>
    <w:tmpl w:val="9C03BD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41A15"/>
    <w:rsid w:val="097F21D5"/>
    <w:rsid w:val="1DF41A15"/>
    <w:rsid w:val="347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2019-10-09T03:09:00Z</dcterms:created>
  <dc:creator>lavender</dc:creator>
  <cp:lastModifiedBy>lavender</cp:lastModifiedBy>
  <dcterms:modified xsi:type="dcterms:W3CDTF">2019-10-09T03:10:05Z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